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3F7" w:rsidRDefault="00BB067C" w:rsidP="00171825">
      <w:pPr>
        <w:pStyle w:val="1"/>
        <w:spacing w:line="288" w:lineRule="auto"/>
        <w:rPr>
          <w:rFonts w:hint="eastAsia"/>
        </w:rPr>
      </w:pPr>
      <w:r>
        <w:rPr>
          <w:rFonts w:hint="eastAsia"/>
        </w:rPr>
        <w:t>分光计的调节和色散曲线的测定</w:t>
      </w:r>
      <w:r>
        <w:rPr>
          <w:rFonts w:hint="eastAsia"/>
        </w:rPr>
        <w:t xml:space="preserve">  </w:t>
      </w:r>
      <w:r>
        <w:rPr>
          <w:rFonts w:hint="eastAsia"/>
        </w:rPr>
        <w:t>预习报告</w:t>
      </w:r>
    </w:p>
    <w:p w:rsidR="00BB067C" w:rsidRPr="00447646" w:rsidRDefault="00BB067C" w:rsidP="00171825">
      <w:pPr>
        <w:pStyle w:val="a3"/>
        <w:numPr>
          <w:ilvl w:val="0"/>
          <w:numId w:val="1"/>
        </w:numPr>
        <w:spacing w:line="288" w:lineRule="auto"/>
        <w:ind w:firstLineChars="0"/>
        <w:rPr>
          <w:rFonts w:ascii="黑体" w:eastAsia="黑体" w:hint="eastAsia"/>
          <w:sz w:val="25"/>
        </w:rPr>
      </w:pPr>
      <w:r w:rsidRPr="00447646">
        <w:rPr>
          <w:rFonts w:ascii="黑体" w:eastAsia="黑体" w:hint="eastAsia"/>
          <w:sz w:val="25"/>
        </w:rPr>
        <w:t>实验目的</w:t>
      </w:r>
    </w:p>
    <w:p w:rsidR="00BB067C" w:rsidRDefault="00BB067C" w:rsidP="00171825">
      <w:pPr>
        <w:pStyle w:val="a3"/>
        <w:numPr>
          <w:ilvl w:val="0"/>
          <w:numId w:val="2"/>
        </w:numPr>
        <w:spacing w:line="288" w:lineRule="auto"/>
        <w:ind w:firstLineChars="0"/>
        <w:rPr>
          <w:rFonts w:hint="eastAsia"/>
        </w:rPr>
      </w:pPr>
      <w:r>
        <w:rPr>
          <w:rFonts w:hint="eastAsia"/>
        </w:rPr>
        <w:t>了解分光计的原理与构造，学会调节分光计；</w:t>
      </w:r>
    </w:p>
    <w:p w:rsidR="00BB067C" w:rsidRDefault="00BB067C" w:rsidP="00171825">
      <w:pPr>
        <w:pStyle w:val="a3"/>
        <w:numPr>
          <w:ilvl w:val="0"/>
          <w:numId w:val="2"/>
        </w:numPr>
        <w:spacing w:line="288" w:lineRule="auto"/>
        <w:ind w:firstLineChars="0"/>
        <w:rPr>
          <w:rFonts w:hint="eastAsia"/>
        </w:rPr>
      </w:pPr>
      <w:r>
        <w:rPr>
          <w:rFonts w:hint="eastAsia"/>
        </w:rPr>
        <w:t>用最小偏向角发测定玻璃折射率；</w:t>
      </w:r>
    </w:p>
    <w:p w:rsidR="00BB067C" w:rsidRDefault="00BB067C" w:rsidP="00171825">
      <w:pPr>
        <w:pStyle w:val="a3"/>
        <w:numPr>
          <w:ilvl w:val="0"/>
          <w:numId w:val="2"/>
        </w:numPr>
        <w:spacing w:line="288" w:lineRule="auto"/>
        <w:ind w:firstLineChars="0"/>
        <w:rPr>
          <w:rFonts w:hint="eastAsia"/>
        </w:rPr>
      </w:pPr>
      <w:r>
        <w:rPr>
          <w:rFonts w:hint="eastAsia"/>
        </w:rPr>
        <w:t>掌握三棱镜顶角的两种测量方法。</w:t>
      </w:r>
    </w:p>
    <w:p w:rsidR="00BB067C" w:rsidRPr="00447646" w:rsidRDefault="00BB067C" w:rsidP="00171825">
      <w:pPr>
        <w:pStyle w:val="a3"/>
        <w:numPr>
          <w:ilvl w:val="0"/>
          <w:numId w:val="1"/>
        </w:numPr>
        <w:spacing w:line="288" w:lineRule="auto"/>
        <w:ind w:firstLineChars="0"/>
        <w:rPr>
          <w:rFonts w:ascii="黑体" w:eastAsia="黑体" w:hint="eastAsia"/>
          <w:sz w:val="25"/>
        </w:rPr>
      </w:pPr>
      <w:r w:rsidRPr="00447646">
        <w:rPr>
          <w:rFonts w:ascii="黑体" w:eastAsia="黑体" w:hint="eastAsia"/>
          <w:sz w:val="25"/>
        </w:rPr>
        <w:t>实验原理</w:t>
      </w:r>
    </w:p>
    <w:p w:rsidR="00BB067C" w:rsidRPr="00447646" w:rsidRDefault="00BB067C" w:rsidP="00171825">
      <w:pPr>
        <w:pStyle w:val="a3"/>
        <w:numPr>
          <w:ilvl w:val="0"/>
          <w:numId w:val="4"/>
        </w:numPr>
        <w:spacing w:line="288" w:lineRule="auto"/>
        <w:ind w:firstLineChars="0"/>
        <w:rPr>
          <w:rFonts w:ascii="Technic"/>
          <w:b/>
          <w:sz w:val="23"/>
        </w:rPr>
      </w:pPr>
      <w:r w:rsidRPr="00447646">
        <w:rPr>
          <w:rFonts w:ascii="Technic" w:hint="eastAsia"/>
          <w:b/>
          <w:sz w:val="23"/>
        </w:rPr>
        <w:t>分光计的结构及调节原理</w:t>
      </w:r>
      <w:r w:rsidR="00171825">
        <w:rPr>
          <w:rFonts w:ascii="Technic" w:hint="eastAsia"/>
          <w:b/>
          <w:sz w:val="23"/>
        </w:rPr>
        <w:t>（略）</w:t>
      </w:r>
    </w:p>
    <w:p w:rsidR="00BB067C" w:rsidRPr="00447646" w:rsidRDefault="00BB067C" w:rsidP="00171825">
      <w:pPr>
        <w:pStyle w:val="a3"/>
        <w:numPr>
          <w:ilvl w:val="0"/>
          <w:numId w:val="4"/>
        </w:numPr>
        <w:spacing w:line="288" w:lineRule="auto"/>
        <w:ind w:firstLineChars="0"/>
        <w:rPr>
          <w:rFonts w:ascii="Technic"/>
          <w:b/>
          <w:sz w:val="23"/>
        </w:rPr>
      </w:pPr>
      <w:r w:rsidRPr="00447646">
        <w:rPr>
          <w:rFonts w:ascii="Technic" w:hint="eastAsia"/>
          <w:b/>
          <w:sz w:val="23"/>
        </w:rPr>
        <w:t>用最小偏向角法测玻璃的折射率</w:t>
      </w:r>
    </w:p>
    <w:p w:rsidR="00715B5F" w:rsidRDefault="00715B5F" w:rsidP="00171825">
      <w:pPr>
        <w:pStyle w:val="a3"/>
        <w:spacing w:line="288" w:lineRule="auto"/>
        <w:ind w:left="840" w:firstLineChars="0"/>
        <w:rPr>
          <w:rFonts w:hint="eastAsia"/>
        </w:rPr>
      </w:pPr>
      <w:r>
        <w:rPr>
          <w:rFonts w:hint="eastAsia"/>
        </w:rPr>
        <w:t>一束平行单色光入射到三棱镜的</w:t>
      </w:r>
      <m:oMath>
        <m:r>
          <m:rPr>
            <m:sty m:val="p"/>
          </m:rPr>
          <w:rPr>
            <w:rFonts w:ascii="Cambria Math" w:hAnsi="Cambria Math" w:hint="eastAsia"/>
          </w:rPr>
          <m:t>AB</m:t>
        </m:r>
      </m:oMath>
      <w:r>
        <w:rPr>
          <w:rFonts w:hint="eastAsia"/>
        </w:rPr>
        <w:t>面，经折射后由另一面</w:t>
      </w:r>
      <m:oMath>
        <m:r>
          <m:rPr>
            <m:sty m:val="p"/>
          </m:rPr>
          <w:rPr>
            <w:rFonts w:ascii="Cambria Math" w:hAnsi="Cambria Math" w:hint="eastAsia"/>
          </w:rPr>
          <m:t>AC</m:t>
        </m:r>
      </m:oMath>
      <w:r>
        <w:rPr>
          <w:rFonts w:hint="eastAsia"/>
        </w:rPr>
        <w:t>射出，如图所示。入射光和出射光的家教</w:t>
      </w:r>
      <m:oMath>
        <m:r>
          <w:rPr>
            <w:rFonts w:ascii="Cambria Math" w:hAnsi="Cambria Math"/>
          </w:rPr>
          <m:t>∆</m:t>
        </m:r>
      </m:oMath>
      <w:r>
        <w:rPr>
          <w:rFonts w:hint="eastAsia"/>
        </w:rPr>
        <w:t>成为偏向角。可以证明，当入射角</w:t>
      </w:r>
      <m:oMath>
        <m:r>
          <w:rPr>
            <w:rFonts w:ascii="Cambria Math" w:hAnsi="Cambria Math"/>
          </w:rPr>
          <m:t>i</m:t>
        </m:r>
      </m:oMath>
      <w:r>
        <w:rPr>
          <w:rFonts w:hint="eastAsia"/>
        </w:rPr>
        <w:t>等于出射角</w:t>
      </w:r>
      <m:oMath>
        <m:r>
          <w:rPr>
            <w:rFonts w:ascii="Cambria Math" w:hAnsi="Cambria Math"/>
          </w:rPr>
          <m:t>i'</m:t>
        </m:r>
      </m:oMath>
      <w:r>
        <w:rPr>
          <w:rFonts w:hint="eastAsia"/>
        </w:rPr>
        <w:t>时，入射光和出射光之间的夹角最小，称为最小偏向角</w:t>
      </w:r>
      <m:oMath>
        <m:r>
          <w:rPr>
            <w:rFonts w:ascii="Cambria Math" w:hAnsi="Cambria Math"/>
          </w:rPr>
          <m:t>δ</m:t>
        </m:r>
      </m:oMath>
      <w:r>
        <w:rPr>
          <w:rFonts w:hint="eastAsia"/>
        </w:rPr>
        <w:t>。</w:t>
      </w:r>
    </w:p>
    <w:p w:rsidR="00715B5F" w:rsidRDefault="00715B5F" w:rsidP="00171825">
      <w:pPr>
        <w:pStyle w:val="a3"/>
        <w:spacing w:line="288" w:lineRule="auto"/>
        <w:ind w:left="840" w:firstLineChars="0"/>
        <w:rPr>
          <w:rFonts w:hint="eastAsia"/>
        </w:rPr>
      </w:pPr>
      <w:r>
        <w:rPr>
          <w:rFonts w:hint="eastAsia"/>
        </w:rPr>
        <w:t>从图可以看出，</w:t>
      </w:r>
      <m:oMath>
        <m:r>
          <m:rPr>
            <m:sty m:val="p"/>
          </m:rPr>
          <w:rPr>
            <w:rFonts w:ascii="Cambria Math" w:hAnsi="Cambria Math"/>
          </w:rPr>
          <m:t>Δ</m:t>
        </m:r>
        <m:r>
          <w:rPr>
            <w:rFonts w:ascii="Cambria Math" w:hAnsi="Cambria Math"/>
          </w:rPr>
          <m:t>=</m:t>
        </m:r>
        <m:d>
          <m:dPr>
            <m:ctrlPr>
              <w:rPr>
                <w:rFonts w:ascii="Cambria Math" w:hAnsi="Cambria Math"/>
                <w:i/>
              </w:rPr>
            </m:ctrlPr>
          </m:dPr>
          <m:e>
            <m:r>
              <w:rPr>
                <w:rFonts w:ascii="Cambria Math" w:hAnsi="Cambria Math"/>
              </w:rPr>
              <m:t>i-r</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m:t>
            </m:r>
          </m:sup>
        </m:sSup>
        <m:r>
          <w:rPr>
            <w:rFonts w:ascii="Cambria Math" w:hAnsi="Cambria Math"/>
          </w:rPr>
          <m:t>-r')</m:t>
        </m:r>
      </m:oMath>
      <w:r>
        <w:rPr>
          <w:rFonts w:hint="eastAsia"/>
        </w:rPr>
        <w:t>。当</w:t>
      </w:r>
      <m:oMath>
        <m:r>
          <w:rPr>
            <w:rFonts w:ascii="Cambria Math" w:hAnsi="Cambria Math"/>
          </w:rPr>
          <m:t>i=i'</m:t>
        </m:r>
      </m:oMath>
      <w:r>
        <w:rPr>
          <w:rFonts w:hint="eastAsia"/>
        </w:rPr>
        <w:t>时，由折射定律有</w:t>
      </w:r>
      <m:oMath>
        <m:r>
          <w:rPr>
            <w:rFonts w:ascii="Cambria Math" w:hAnsi="Cambria Math"/>
          </w:rPr>
          <m:t>r=r'</m:t>
        </m:r>
      </m:oMath>
      <w:r>
        <w:rPr>
          <w:rFonts w:hint="eastAsia"/>
        </w:rPr>
        <w:t>。这时用</w:t>
      </w:r>
      <m:oMath>
        <m:r>
          <w:rPr>
            <w:rFonts w:ascii="Cambria Math" w:hAnsi="Cambria Math"/>
          </w:rPr>
          <m:t>δ</m:t>
        </m:r>
        <m:r>
          <m:rPr>
            <m:sty m:val="p"/>
          </m:rPr>
          <w:rPr>
            <w:rFonts w:ascii="Cambria Math" w:hAnsi="Cambria Math"/>
          </w:rPr>
          <m:t>替代</m:t>
        </m:r>
        <m:r>
          <m:rPr>
            <m:sty m:val="p"/>
          </m:rPr>
          <w:rPr>
            <w:rFonts w:ascii="Cambria Math" w:hAnsi="Cambria Math"/>
          </w:rPr>
          <m:t>Δ</m:t>
        </m:r>
      </m:oMath>
      <w:r>
        <w:rPr>
          <w:rFonts w:hint="eastAsia"/>
        </w:rPr>
        <w:t>得：</w:t>
      </w:r>
      <m:oMath>
        <m:r>
          <w:rPr>
            <w:rFonts w:ascii="Cambria Math" w:hAnsi="Cambria Math"/>
          </w:rPr>
          <m:t>δ=2(i-r)</m:t>
        </m:r>
      </m:oMath>
      <w:r>
        <w:rPr>
          <w:rFonts w:hint="eastAsia"/>
        </w:rPr>
        <w:t>。又因为</w:t>
      </w:r>
      <m:oMath>
        <m:r>
          <w:rPr>
            <w:rFonts w:ascii="Cambria Math" w:hAnsi="Cambria Math"/>
          </w:rPr>
          <m:t>r+</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=2r=π-G=π-</m:t>
        </m:r>
        <m:d>
          <m:dPr>
            <m:ctrlPr>
              <w:rPr>
                <w:rFonts w:ascii="Cambria Math" w:hAnsi="Cambria Math"/>
                <w:i/>
              </w:rPr>
            </m:ctrlPr>
          </m:dPr>
          <m:e>
            <m:r>
              <w:rPr>
                <w:rFonts w:ascii="Cambria Math" w:hAnsi="Cambria Math"/>
              </w:rPr>
              <m:t>π-A</m:t>
            </m:r>
          </m:e>
        </m:d>
        <m:r>
          <w:rPr>
            <w:rFonts w:ascii="Cambria Math" w:hAnsi="Cambria Math"/>
          </w:rPr>
          <m:t>=A</m:t>
        </m:r>
      </m:oMath>
      <w:r>
        <w:rPr>
          <w:rFonts w:hint="eastAsia"/>
        </w:rPr>
        <w:t>，所以</w:t>
      </w:r>
      <m:oMath>
        <m:r>
          <w:rPr>
            <w:rFonts w:ascii="Cambria Math" w:hAnsi="Cambria Math"/>
          </w:rPr>
          <m:t>r=A/2</m:t>
        </m:r>
      </m:oMath>
      <w:r>
        <w:rPr>
          <w:rFonts w:hint="eastAsia"/>
        </w:rPr>
        <w:t>。联立两式得：</w:t>
      </w:r>
    </w:p>
    <w:p w:rsidR="00715B5F" w:rsidRDefault="00715B5F" w:rsidP="00171825">
      <w:pPr>
        <w:pStyle w:val="a3"/>
        <w:spacing w:line="288" w:lineRule="auto"/>
        <w:ind w:left="840" w:firstLineChars="0"/>
        <w:rPr>
          <w:rFonts w:hint="eastAsia"/>
        </w:rPr>
      </w:pPr>
      <m:oMathPara>
        <m:oMath>
          <m:r>
            <w:rPr>
              <w:rFonts w:ascii="Cambria Math" w:hAnsi="Cambria Math"/>
            </w:rPr>
            <m:t>i=</m:t>
          </m:r>
          <m:f>
            <m:fPr>
              <m:ctrlPr>
                <w:rPr>
                  <w:rFonts w:ascii="Cambria Math" w:hAnsi="Cambria Math"/>
                  <w:i/>
                </w:rPr>
              </m:ctrlPr>
            </m:fPr>
            <m:num>
              <m:r>
                <w:rPr>
                  <w:rFonts w:ascii="Cambria Math" w:hAnsi="Cambria Math"/>
                </w:rPr>
                <m:t>A+δ</m:t>
              </m:r>
            </m:num>
            <m:den>
              <m:r>
                <w:rPr>
                  <w:rFonts w:ascii="Cambria Math" w:hAnsi="Cambria Math"/>
                </w:rPr>
                <m:t>2</m:t>
              </m:r>
            </m:den>
          </m:f>
        </m:oMath>
      </m:oMathPara>
    </w:p>
    <w:p w:rsidR="00715B5F" w:rsidRDefault="00715B5F" w:rsidP="00171825">
      <w:pPr>
        <w:pStyle w:val="a3"/>
        <w:spacing w:line="288" w:lineRule="auto"/>
        <w:ind w:left="840" w:firstLineChars="0"/>
        <w:rPr>
          <w:rFonts w:hint="eastAsia"/>
        </w:rPr>
      </w:pPr>
      <w:r>
        <w:rPr>
          <w:rFonts w:hint="eastAsia"/>
        </w:rPr>
        <w:t>由折射定律有：</w:t>
      </w:r>
    </w:p>
    <w:p w:rsidR="00715B5F" w:rsidRDefault="00715B5F" w:rsidP="00171825">
      <w:pPr>
        <w:pStyle w:val="a3"/>
        <w:spacing w:line="288" w:lineRule="auto"/>
        <w:ind w:left="840" w:firstLineChars="0"/>
        <w:rPr>
          <w:rFonts w:hint="eastAsia"/>
        </w:rPr>
      </w:pPr>
      <m:oMathPara>
        <m:oMath>
          <m:r>
            <w:rPr>
              <w:rFonts w:ascii="Cambria Math" w:hAnsi="Cambria Math"/>
            </w:rPr>
            <m:t>n=</m:t>
          </m:r>
          <m:f>
            <m:fPr>
              <m:ctrlPr>
                <w:rPr>
                  <w:rFonts w:ascii="Cambria Math" w:hAnsi="Cambria Math"/>
                  <w:i/>
                </w:rPr>
              </m:ctrlPr>
            </m:fPr>
            <m:num>
              <m:r>
                <m:rPr>
                  <m:sty m:val="p"/>
                </m:rPr>
                <w:rPr>
                  <w:rFonts w:ascii="Cambria Math" w:hAnsi="Cambria Math"/>
                </w:rPr>
                <m:t>sin</m:t>
              </m:r>
              <m:r>
                <w:rPr>
                  <w:rFonts w:ascii="Cambria Math" w:hAnsi="Cambria Math"/>
                </w:rPr>
                <m:t>i</m:t>
              </m:r>
            </m:num>
            <m:den>
              <m:r>
                <m:rPr>
                  <m:sty m:val="p"/>
                </m:rPr>
                <w:rPr>
                  <w:rFonts w:ascii="Cambria Math" w:hAnsi="Cambria Math"/>
                </w:rPr>
                <m:t>sin</m:t>
              </m:r>
              <m:r>
                <w:rPr>
                  <w:rFonts w:ascii="Cambria Math" w:hAnsi="Cambria Math"/>
                </w:rPr>
                <m:t>r</m:t>
              </m:r>
            </m:den>
          </m:f>
          <m:r>
            <w:rPr>
              <w:rFonts w:ascii="Cambria Math" w:hAnsi="Cambria Math"/>
            </w:rPr>
            <m:t>=</m:t>
          </m:r>
          <m:f>
            <m:fPr>
              <m:ctrlPr>
                <w:rPr>
                  <w:rFonts w:ascii="Cambria Math" w:hAnsi="Cambria Math"/>
                  <w:i/>
                </w:rPr>
              </m:ctrlPr>
            </m:fPr>
            <m:num>
              <m:r>
                <m:rPr>
                  <m:sty m:val="p"/>
                </m:rPr>
                <w:rPr>
                  <w:rFonts w:ascii="Cambria Math" w:hAnsi="Cambria Math"/>
                </w:rPr>
                <m:t>sin</m:t>
              </m:r>
              <m:f>
                <m:fPr>
                  <m:ctrlPr>
                    <w:rPr>
                      <w:rFonts w:ascii="Cambria Math" w:hAnsi="Cambria Math"/>
                    </w:rPr>
                  </m:ctrlPr>
                </m:fPr>
                <m:num>
                  <m:r>
                    <w:rPr>
                      <w:rFonts w:ascii="Cambria Math" w:hAnsi="Cambria Math"/>
                    </w:rPr>
                    <m:t>A</m:t>
                  </m:r>
                  <m:r>
                    <m:rPr>
                      <m:sty m:val="p"/>
                    </m:rPr>
                    <w:rPr>
                      <w:rFonts w:ascii="Cambria Math" w:hAnsi="Cambria Math"/>
                    </w:rPr>
                    <m:t>+δ</m:t>
                  </m:r>
                </m:num>
                <m:den>
                  <m:r>
                    <m:rPr>
                      <m:sty m:val="p"/>
                    </m:rPr>
                    <w:rPr>
                      <w:rFonts w:ascii="Cambria Math" w:hAnsi="Cambria Math"/>
                    </w:rPr>
                    <m:t>2</m:t>
                  </m:r>
                </m:den>
              </m:f>
            </m:num>
            <m:den>
              <m:r>
                <m:rPr>
                  <m:sty m:val="p"/>
                </m:rPr>
                <w:rPr>
                  <w:rFonts w:ascii="Cambria Math" w:hAnsi="Cambria Math"/>
                </w:rPr>
                <m:t>sin</m:t>
              </m:r>
              <m:f>
                <m:fPr>
                  <m:ctrlPr>
                    <w:rPr>
                      <w:rFonts w:ascii="Cambria Math" w:hAnsi="Cambria Math"/>
                      <w:i/>
                    </w:rPr>
                  </m:ctrlPr>
                </m:fPr>
                <m:num>
                  <m:r>
                    <w:rPr>
                      <w:rFonts w:ascii="Cambria Math" w:hAnsi="Cambria Math"/>
                    </w:rPr>
                    <m:t>A</m:t>
                  </m:r>
                </m:num>
                <m:den>
                  <m:r>
                    <w:rPr>
                      <w:rFonts w:ascii="Cambria Math" w:hAnsi="Cambria Math"/>
                    </w:rPr>
                    <m:t>2</m:t>
                  </m:r>
                </m:den>
              </m:f>
            </m:den>
          </m:f>
        </m:oMath>
      </m:oMathPara>
    </w:p>
    <w:p w:rsidR="00715B5F" w:rsidRPr="00715B5F" w:rsidRDefault="00715B5F" w:rsidP="00171825">
      <w:pPr>
        <w:pStyle w:val="a3"/>
        <w:spacing w:line="288" w:lineRule="auto"/>
        <w:ind w:left="840" w:firstLineChars="0" w:firstLine="0"/>
        <w:rPr>
          <w:rFonts w:hint="eastAsia"/>
          <w:i/>
        </w:rPr>
      </w:pPr>
      <w:r>
        <w:rPr>
          <w:rFonts w:hint="eastAsia"/>
        </w:rPr>
        <w:t>由上式可知，只要测出三棱镜顶角</w:t>
      </w:r>
      <m:oMath>
        <m:r>
          <w:rPr>
            <w:rFonts w:ascii="Cambria Math" w:hAnsi="Cambria Math"/>
          </w:rPr>
          <m:t>A</m:t>
        </m:r>
      </m:oMath>
      <w:r>
        <w:rPr>
          <w:rFonts w:hint="eastAsia"/>
        </w:rPr>
        <w:t>和最小偏向角</w:t>
      </w:r>
      <m:oMath>
        <m:r>
          <w:rPr>
            <w:rFonts w:ascii="Cambria Math" w:hAnsi="Cambria Math"/>
          </w:rPr>
          <m:t>δ</m:t>
        </m:r>
      </m:oMath>
      <w:r>
        <w:rPr>
          <w:rFonts w:hint="eastAsia"/>
        </w:rPr>
        <w:t>，就可以计算出棱镜玻璃对该波长的单色光的折射率</w:t>
      </w:r>
      <m:oMath>
        <m:r>
          <w:rPr>
            <w:rFonts w:ascii="Cambria Math" w:hAnsi="Cambria Math"/>
          </w:rPr>
          <m:t>n</m:t>
        </m:r>
      </m:oMath>
      <w:r>
        <w:rPr>
          <w:rFonts w:hint="eastAsia"/>
        </w:rPr>
        <w:t>。</w:t>
      </w:r>
    </w:p>
    <w:p w:rsidR="00BB067C" w:rsidRPr="00447646" w:rsidRDefault="00BB067C" w:rsidP="00171825">
      <w:pPr>
        <w:pStyle w:val="a3"/>
        <w:numPr>
          <w:ilvl w:val="0"/>
          <w:numId w:val="4"/>
        </w:numPr>
        <w:spacing w:line="288" w:lineRule="auto"/>
        <w:ind w:firstLineChars="0"/>
        <w:rPr>
          <w:rFonts w:ascii="Technic"/>
          <w:b/>
          <w:sz w:val="23"/>
        </w:rPr>
      </w:pPr>
      <w:r w:rsidRPr="00447646">
        <w:rPr>
          <w:rFonts w:ascii="Technic" w:hint="eastAsia"/>
          <w:b/>
          <w:sz w:val="23"/>
        </w:rPr>
        <w:t>色散及色散曲线的拟合</w:t>
      </w:r>
    </w:p>
    <w:p w:rsidR="004E09E1" w:rsidRDefault="004E09E1" w:rsidP="00171825">
      <w:pPr>
        <w:pStyle w:val="a3"/>
        <w:spacing w:line="288" w:lineRule="auto"/>
        <w:ind w:left="851" w:firstLineChars="194" w:firstLine="407"/>
        <w:rPr>
          <w:rFonts w:hint="eastAsia"/>
        </w:rPr>
      </w:pPr>
      <w:r>
        <w:rPr>
          <w:rFonts w:hint="eastAsia"/>
        </w:rPr>
        <w:t>当入射光不是单色光时，虽然入射角对各种波长的光都相同，但出射角并不相同，表明折射率也不相同。对于一般的透明材料来说，折射率随波长的减小而增大。如</w:t>
      </w:r>
      <m:oMath>
        <m:sSub>
          <m:sSubPr>
            <m:ctrlPr>
              <w:rPr>
                <w:rFonts w:ascii="Cambria Math" w:hAnsi="Cambria Math"/>
                <w:i/>
              </w:rPr>
            </m:ctrlPr>
          </m:sSubPr>
          <m:e>
            <m:r>
              <w:rPr>
                <w:rFonts w:ascii="Cambria Math" w:hAnsi="Cambria Math"/>
              </w:rPr>
              <m:t>λ</m:t>
            </m:r>
          </m:e>
          <m:sub>
            <m:r>
              <m:rPr>
                <m:sty m:val="p"/>
              </m:rPr>
              <w:rPr>
                <w:rFonts w:ascii="Cambria Math" w:hAnsi="Cambria Math"/>
              </w:rPr>
              <m:t>紫</m:t>
            </m:r>
            <m:ctrlPr>
              <w:rPr>
                <w:rFonts w:ascii="Cambria Math" w:hAnsi="Cambria Math"/>
              </w:rPr>
            </m:ctrlPr>
          </m:sub>
        </m:sSub>
        <m:r>
          <m:rPr>
            <m:sty m:val="p"/>
          </m:rPr>
          <w:rPr>
            <w:rFonts w:ascii="Cambria Math" w:hAnsi="Cambria Math"/>
          </w:rPr>
          <m:t>&lt;</m:t>
        </m:r>
        <m:sSub>
          <m:sSubPr>
            <m:ctrlPr>
              <w:rPr>
                <w:rFonts w:ascii="Cambria Math" w:hAnsi="Cambria Math"/>
                <w:i/>
              </w:rPr>
            </m:ctrlPr>
          </m:sSubPr>
          <m:e>
            <m:r>
              <w:rPr>
                <w:rFonts w:ascii="Cambria Math" w:hAnsi="Cambria Math"/>
              </w:rPr>
              <m:t>λ</m:t>
            </m:r>
          </m:e>
          <m:sub>
            <m:r>
              <m:rPr>
                <m:sty m:val="p"/>
              </m:rPr>
              <w:rPr>
                <w:rFonts w:ascii="Cambria Math" w:hAnsi="Cambria Math"/>
              </w:rPr>
              <m:t>红</m:t>
            </m:r>
            <m:ctrlPr>
              <w:rPr>
                <w:rFonts w:ascii="Cambria Math" w:hAnsi="Cambria Math"/>
              </w:rPr>
            </m:ctrlPr>
          </m:sub>
        </m:sSub>
      </m:oMath>
      <w:r>
        <w:rPr>
          <w:rFonts w:hint="eastAsia"/>
        </w:rPr>
        <w:t>，故</w:t>
      </w:r>
      <m:oMath>
        <m:sSub>
          <m:sSubPr>
            <m:ctrlPr>
              <w:rPr>
                <w:rFonts w:ascii="Cambria Math" w:hAnsi="Cambria Math"/>
                <w:i/>
              </w:rPr>
            </m:ctrlPr>
          </m:sSubPr>
          <m:e>
            <m:r>
              <w:rPr>
                <w:rFonts w:ascii="Cambria Math" w:hAnsi="Cambria Math"/>
              </w:rPr>
              <m:t>n</m:t>
            </m:r>
          </m:e>
          <m:sub>
            <m:r>
              <m:rPr>
                <m:sty m:val="p"/>
              </m:rPr>
              <w:rPr>
                <w:rFonts w:ascii="Cambria Math" w:hAnsi="Cambria Math"/>
              </w:rPr>
              <m:t>红</m:t>
            </m:r>
            <m:ctrlPr>
              <w:rPr>
                <w:rFonts w:ascii="Cambria Math" w:hAnsi="Cambria Math"/>
              </w:rPr>
            </m:ctrlPr>
          </m:sub>
        </m:sSub>
        <m:r>
          <w:rPr>
            <w:rFonts w:ascii="Cambria Math" w:hAnsi="Cambria Math"/>
          </w:rPr>
          <m:t>&lt;</m:t>
        </m:r>
        <m:sSub>
          <m:sSubPr>
            <m:ctrlPr>
              <w:rPr>
                <w:rFonts w:ascii="Cambria Math" w:hAnsi="Cambria Math"/>
                <w:i/>
              </w:rPr>
            </m:ctrlPr>
          </m:sSubPr>
          <m:e>
            <m:r>
              <w:rPr>
                <w:rFonts w:ascii="Cambria Math" w:hAnsi="Cambria Math"/>
              </w:rPr>
              <m:t>n</m:t>
            </m:r>
          </m:e>
          <m:sub>
            <m:r>
              <m:rPr>
                <m:sty m:val="p"/>
              </m:rPr>
              <w:rPr>
                <w:rFonts w:ascii="Cambria Math" w:hAnsi="Cambria Math"/>
              </w:rPr>
              <m:t>紫</m:t>
            </m:r>
            <m:ctrlPr>
              <w:rPr>
                <w:rFonts w:ascii="Cambria Math" w:hAnsi="Cambria Math"/>
              </w:rPr>
            </m:ctrlPr>
          </m:sub>
        </m:sSub>
      </m:oMath>
      <w:r>
        <w:rPr>
          <w:rFonts w:hint="eastAsia"/>
        </w:rPr>
        <w:t>。折射率</w:t>
      </w:r>
      <m:oMath>
        <m:r>
          <w:rPr>
            <w:rFonts w:ascii="Cambria Math" w:hAnsi="Cambria Math"/>
          </w:rPr>
          <m:t>n</m:t>
        </m:r>
      </m:oMath>
      <w:r>
        <w:rPr>
          <w:rFonts w:hint="eastAsia"/>
        </w:rPr>
        <w:t>随波长</w:t>
      </w:r>
      <m:oMath>
        <m:r>
          <w:rPr>
            <w:rFonts w:ascii="Cambria Math" w:hAnsi="Cambria Math"/>
          </w:rPr>
          <m:t>λ</m:t>
        </m:r>
      </m:oMath>
      <w:r>
        <w:rPr>
          <w:rFonts w:hint="eastAsia"/>
        </w:rPr>
        <w:t>而变的现象称为色散。对一种玻璃材料所</w:t>
      </w:r>
      <w:proofErr w:type="gramStart"/>
      <w:r>
        <w:rPr>
          <w:rFonts w:hint="eastAsia"/>
        </w:rPr>
        <w:t>作出</w:t>
      </w:r>
      <w:proofErr w:type="gramEnd"/>
      <w:r>
        <w:rPr>
          <w:rFonts w:hint="eastAsia"/>
        </w:rPr>
        <w:t>的折射率和波长的关系曲线称为它的色散曲线。不同材料的色散曲线是不同的，一般可采用平均色散</w:t>
      </w:r>
      <m:oMath>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oMath>
      <w:r>
        <w:rPr>
          <w:rFonts w:hint="eastAsia"/>
        </w:rPr>
        <w:t>或色散本领</w:t>
      </w:r>
    </w:p>
    <w:p w:rsidR="004E09E1" w:rsidRDefault="004E09E1" w:rsidP="00171825">
      <w:pPr>
        <w:pStyle w:val="a3"/>
        <w:spacing w:line="288" w:lineRule="auto"/>
        <w:ind w:left="1260" w:firstLineChars="0" w:firstLine="0"/>
        <w:rPr>
          <w:rFonts w:hint="eastAsia"/>
        </w:rPr>
      </w:pPr>
      <m:oMathPara>
        <m:oMath>
          <m:r>
            <w:rPr>
              <w:rFonts w:ascii="Cambria Math" w:hAnsi="Cambria Math"/>
            </w:rPr>
            <m:t>V=</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num>
            <m:den>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-1</m:t>
              </m:r>
            </m:den>
          </m:f>
        </m:oMath>
      </m:oMathPara>
    </w:p>
    <w:p w:rsidR="004E09E1" w:rsidRDefault="004E09E1" w:rsidP="00171825">
      <w:pPr>
        <w:spacing w:line="288" w:lineRule="auto"/>
        <w:ind w:left="420" w:firstLine="420"/>
        <w:rPr>
          <w:rFonts w:hint="eastAsia"/>
        </w:rPr>
      </w:pPr>
      <w:r>
        <w:rPr>
          <w:rFonts w:hint="eastAsia"/>
        </w:rPr>
        <w:t>来表示某种玻璃色散的程度。其中</w:t>
      </w:r>
      <m:oMath>
        <m:sSub>
          <m:sSubPr>
            <m:ctrlPr>
              <w:rPr>
                <w:rFonts w:ascii="Cambria Math" w:hAnsi="Cambria Math"/>
                <w:i/>
              </w:rPr>
            </m:ctrlPr>
          </m:sSubPr>
          <m:e>
            <m:r>
              <w:rPr>
                <w:rFonts w:ascii="Cambria Math" w:hAnsi="Cambria Math"/>
              </w:rPr>
              <m:t>n</m:t>
            </m:r>
          </m:e>
          <m:sub>
            <m:r>
              <w:rPr>
                <w:rFonts w:ascii="Cambria Math" w:hAnsi="Cambria Math"/>
              </w:rPr>
              <m:t>C</m:t>
            </m:r>
          </m:sub>
        </m:sSub>
        <m:r>
          <m:rPr>
            <m:sty m:val="p"/>
          </m:rP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D</m:t>
            </m:r>
          </m:sub>
        </m:sSub>
        <m:r>
          <m:rPr>
            <m:sty m:val="p"/>
          </m:rPr>
          <w:rPr>
            <w:rFonts w:ascii="Cambria Math" w:hAnsi="Cambria Math"/>
          </w:rPr>
          <m:t>和</m:t>
        </m:r>
        <m:sSub>
          <m:sSubPr>
            <m:ctrlPr>
              <w:rPr>
                <w:rFonts w:ascii="Cambria Math" w:hAnsi="Cambria Math"/>
                <w:i/>
              </w:rPr>
            </m:ctrlPr>
          </m:sSubPr>
          <m:e>
            <m:r>
              <w:rPr>
                <w:rFonts w:ascii="Cambria Math" w:hAnsi="Cambria Math"/>
              </w:rPr>
              <m:t>n</m:t>
            </m:r>
          </m:e>
          <m:sub>
            <m:r>
              <w:rPr>
                <w:rFonts w:ascii="Cambria Math" w:hAnsi="Cambria Math"/>
              </w:rPr>
              <m:t>F</m:t>
            </m:r>
          </m:sub>
        </m:sSub>
      </m:oMath>
      <w:r>
        <w:rPr>
          <w:rFonts w:hint="eastAsia"/>
        </w:rPr>
        <w:t>分别表示玻璃对夫</w:t>
      </w:r>
      <w:proofErr w:type="gramStart"/>
      <w:r>
        <w:rPr>
          <w:rFonts w:hint="eastAsia"/>
        </w:rPr>
        <w:t>琅</w:t>
      </w:r>
      <w:proofErr w:type="gramEnd"/>
      <w:r>
        <w:rPr>
          <w:rFonts w:hint="eastAsia"/>
        </w:rPr>
        <w:t>和费谱线中</w:t>
      </w:r>
      <m:oMath>
        <m:r>
          <w:rPr>
            <w:rFonts w:ascii="Cambria Math" w:hAnsi="Cambria Math"/>
          </w:rPr>
          <m:t>C</m:t>
        </m:r>
        <m:r>
          <m:rPr>
            <m:sty m:val="p"/>
          </m:rPr>
          <w:rPr>
            <w:rFonts w:ascii="Cambria Math" w:hAnsi="Cambria Math"/>
          </w:rPr>
          <m:t>线、</m:t>
        </m:r>
        <m:r>
          <w:rPr>
            <w:rFonts w:ascii="Cambria Math" w:hAnsi="Cambria Math"/>
          </w:rPr>
          <m:t>D</m:t>
        </m:r>
        <m:r>
          <m:rPr>
            <m:sty m:val="p"/>
          </m:rPr>
          <w:rPr>
            <w:rFonts w:ascii="Cambria Math" w:hAnsi="Cambria Math"/>
          </w:rPr>
          <m:t>线和</m:t>
        </m:r>
        <m:r>
          <w:rPr>
            <w:rFonts w:ascii="Cambria Math" w:hAnsi="Cambria Math"/>
          </w:rPr>
          <m:t>F</m:t>
        </m:r>
        <m:r>
          <m:rPr>
            <m:sty m:val="p"/>
          </m:rPr>
          <w:rPr>
            <w:rFonts w:ascii="Cambria Math" w:hAnsi="Cambria Math"/>
          </w:rPr>
          <m:t>线</m:t>
        </m:r>
      </m:oMath>
      <w:r>
        <w:rPr>
          <w:rFonts w:hint="eastAsia"/>
        </w:rPr>
        <w:t>的折射率。这三条线的波长分别是</w:t>
      </w:r>
      <m:oMath>
        <m:sSub>
          <m:sSubPr>
            <m:ctrlPr>
              <w:rPr>
                <w:rFonts w:ascii="Cambria Math" w:hAnsi="Cambria Math"/>
                <w:i/>
              </w:rPr>
            </m:ctrlPr>
          </m:sSubPr>
          <m:e>
            <m:r>
              <w:rPr>
                <w:rFonts w:ascii="Cambria Math" w:hAnsi="Cambria Math"/>
              </w:rPr>
              <m:t>λ</m:t>
            </m:r>
          </m:e>
          <m:sub>
            <m:r>
              <w:rPr>
                <w:rFonts w:ascii="Cambria Math" w:hAnsi="Cambria Math"/>
              </w:rPr>
              <m:t>C</m:t>
            </m:r>
          </m:sub>
        </m:sSub>
        <m:r>
          <w:rPr>
            <w:rFonts w:ascii="Cambria Math" w:hAnsi="Cambria Math"/>
          </w:rPr>
          <m:t>=656.3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=589.3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F</m:t>
            </m:r>
          </m:sub>
        </m:sSub>
        <m:r>
          <w:rPr>
            <w:rFonts w:ascii="Cambria Math" w:hAnsi="Cambria Math"/>
          </w:rPr>
          <m:t>=486.1</m:t>
        </m:r>
        <m:r>
          <m:rPr>
            <m:sty m:val="p"/>
          </m:rPr>
          <w:rPr>
            <w:rFonts w:ascii="Cambria Math" w:hAnsi="Cambria Math"/>
          </w:rPr>
          <m:t>nm</m:t>
        </m:r>
      </m:oMath>
      <w:r>
        <w:rPr>
          <w:rFonts w:hint="eastAsia"/>
        </w:rPr>
        <w:t>。</w:t>
      </w:r>
    </w:p>
    <w:p w:rsidR="004E09E1" w:rsidRDefault="00405A5F" w:rsidP="00171825">
      <w:pPr>
        <w:spacing w:line="288" w:lineRule="auto"/>
        <w:ind w:left="420" w:firstLine="420"/>
        <w:rPr>
          <w:rFonts w:hint="eastAsia"/>
        </w:rPr>
      </w:pPr>
      <w:r>
        <w:rPr>
          <w:rFonts w:hint="eastAsia"/>
        </w:rPr>
        <w:t>用经验公式来表示可见光范围内玻璃材料的折射率与波长之间的关系时，较方便适用的公式是：</w:t>
      </w:r>
    </w:p>
    <w:p w:rsidR="00405A5F" w:rsidRDefault="00405A5F" w:rsidP="00171825">
      <w:pPr>
        <w:spacing w:line="288" w:lineRule="auto"/>
        <w:ind w:left="420" w:firstLine="420"/>
        <w:rPr>
          <w:rFonts w:hint="eastAsia"/>
        </w:rPr>
      </w:pPr>
      <m:oMathPara>
        <m:oMath>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3</m:t>
              </m:r>
            </m:sub>
          </m:sSub>
          <m:sSup>
            <m:sSupPr>
              <m:ctrlPr>
                <w:rPr>
                  <w:rFonts w:ascii="Cambria Math" w:hAnsi="Cambria Math"/>
                  <w:i/>
                </w:rPr>
              </m:ctrlPr>
            </m:sSupPr>
            <m:e>
              <m:r>
                <w:rPr>
                  <w:rFonts w:ascii="Cambria Math" w:hAnsi="Cambria Math"/>
                </w:rPr>
                <m:t>λ</m:t>
              </m:r>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4</m:t>
              </m:r>
            </m:sub>
          </m:sSub>
          <m:sSup>
            <m:sSupPr>
              <m:ctrlPr>
                <w:rPr>
                  <w:rFonts w:ascii="Cambria Math" w:hAnsi="Cambria Math"/>
                  <w:i/>
                </w:rPr>
              </m:ctrlPr>
            </m:sSupPr>
            <m:e>
              <m:r>
                <w:rPr>
                  <w:rFonts w:ascii="Cambria Math" w:hAnsi="Cambria Math"/>
                </w:rPr>
                <m:t>λ</m:t>
              </m:r>
            </m:e>
            <m:sup>
              <m:r>
                <w:rPr>
                  <w:rFonts w:ascii="Cambria Math" w:hAnsi="Cambria Math"/>
                </w:rPr>
                <m:t>-6</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sSup>
            <m:sSupPr>
              <m:ctrlPr>
                <w:rPr>
                  <w:rFonts w:ascii="Cambria Math" w:hAnsi="Cambria Math"/>
                  <w:i/>
                </w:rPr>
              </m:ctrlPr>
            </m:sSupPr>
            <m:e>
              <m:r>
                <w:rPr>
                  <w:rFonts w:ascii="Cambria Math" w:hAnsi="Cambria Math"/>
                </w:rPr>
                <m:t>λ</m:t>
              </m:r>
            </m:e>
            <m:sup>
              <m:r>
                <w:rPr>
                  <w:rFonts w:ascii="Cambria Math" w:hAnsi="Cambria Math"/>
                </w:rPr>
                <m:t>-8</m:t>
              </m:r>
            </m:sup>
          </m:sSup>
        </m:oMath>
      </m:oMathPara>
    </w:p>
    <w:p w:rsidR="00405A5F" w:rsidRDefault="00405A5F" w:rsidP="00171825">
      <w:pPr>
        <w:spacing w:line="288" w:lineRule="auto"/>
        <w:ind w:left="420" w:firstLine="420"/>
        <w:rPr>
          <w:rFonts w:hint="eastAsia"/>
        </w:rPr>
      </w:pPr>
      <w:r>
        <w:rPr>
          <w:rFonts w:hint="eastAsia"/>
        </w:rPr>
        <w:t>各种牌号玻璃经验公式系数</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oMath>
      <w:r>
        <w:rPr>
          <w:rFonts w:hint="eastAsia"/>
        </w:rPr>
        <w:t>有专门的光学玻璃手册给出。实验研究时可以通过对</w:t>
      </w:r>
      <m:oMath>
        <m:d>
          <m:dPr>
            <m:ctrlPr>
              <w:rPr>
                <w:rFonts w:ascii="Cambria Math" w:hAnsi="Cambria Math"/>
                <w:i/>
              </w:rPr>
            </m:ctrlPr>
          </m:dPr>
          <m:e>
            <m:r>
              <w:rPr>
                <w:rFonts w:ascii="Cambria Math" w:hAnsi="Cambria Math"/>
              </w:rPr>
              <m:t>n,λ</m:t>
            </m:r>
          </m:e>
        </m:d>
      </m:oMath>
      <w:r>
        <w:rPr>
          <w:rFonts w:hint="eastAsia"/>
        </w:rPr>
        <w:t>的七组以上实验结果进行处理，设</w:t>
      </w:r>
      <m:oMath>
        <m:r>
          <w:rPr>
            <w:rFonts w:ascii="Cambria Math" w:hAnsi="Cambria Math"/>
          </w:rPr>
          <m:t>y=</m:t>
        </m:r>
        <m:sSup>
          <m:sSupPr>
            <m:ctrlPr>
              <w:rPr>
                <w:rFonts w:ascii="Cambria Math" w:hAnsi="Cambria Math"/>
                <w:i/>
              </w:rPr>
            </m:ctrlPr>
          </m:sSupPr>
          <m:e>
            <m:r>
              <w:rPr>
                <w:rFonts w:ascii="Cambria Math" w:hAnsi="Cambria Math"/>
              </w:rPr>
              <m:t>n</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-4</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-6</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-8</m:t>
            </m:r>
          </m:sup>
        </m:sSup>
      </m:oMath>
      <w:r>
        <w:rPr>
          <w:rFonts w:hint="eastAsia"/>
        </w:rPr>
        <w:t>，把一元高次方程拟合转化为</w:t>
      </w:r>
      <m:oMath>
        <m:r>
          <w:rPr>
            <w:rFonts w:ascii="Cambria Math" w:hAnsi="Cambria Math"/>
          </w:rPr>
          <m:t>y~</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6</m:t>
            </m:r>
          </m:sub>
        </m:sSub>
      </m:oMath>
      <w:r>
        <w:rPr>
          <w:rFonts w:hint="eastAsia"/>
        </w:rPr>
        <w:t>的多元线性回归问题，并利用计算机来处理数据，拟合色散曲线，得到经验公式。</w:t>
      </w:r>
    </w:p>
    <w:p w:rsidR="00405A5F" w:rsidRPr="00405A5F" w:rsidRDefault="00405A5F" w:rsidP="00171825">
      <w:pPr>
        <w:spacing w:line="288" w:lineRule="auto"/>
        <w:ind w:left="420" w:firstLine="420"/>
        <w:rPr>
          <w:rFonts w:hint="eastAsia"/>
        </w:rPr>
      </w:pPr>
      <w:r>
        <w:rPr>
          <w:rFonts w:hint="eastAsia"/>
        </w:rPr>
        <w:t>需要说明的一点是，各种不同的光学仪器对色散的要求也是不同的。例如照相机、显微镜的镜头要求色散小，则色差小。而摄谱仪和单色仪中棱镜则要求色散大，使各种波长的光能够分得开，以提高仪器分辨本领。</w:t>
      </w:r>
    </w:p>
    <w:p w:rsidR="00BB067C" w:rsidRPr="00182671" w:rsidRDefault="00BB067C" w:rsidP="00171825">
      <w:pPr>
        <w:pStyle w:val="a3"/>
        <w:numPr>
          <w:ilvl w:val="0"/>
          <w:numId w:val="4"/>
        </w:numPr>
        <w:spacing w:line="288" w:lineRule="auto"/>
        <w:ind w:firstLineChars="0"/>
        <w:rPr>
          <w:rFonts w:ascii="Technic" w:hAnsi="Technic"/>
          <w:b/>
          <w:sz w:val="23"/>
        </w:rPr>
      </w:pPr>
      <w:r w:rsidRPr="00447646">
        <w:rPr>
          <w:rFonts w:ascii="Technic"/>
          <w:b/>
          <w:sz w:val="23"/>
        </w:rPr>
        <w:lastRenderedPageBreak/>
        <w:t>三棱镜顶角的测量原理</w:t>
      </w:r>
    </w:p>
    <w:p w:rsidR="00182671" w:rsidRPr="00182671" w:rsidRDefault="00182671" w:rsidP="00171825">
      <w:pPr>
        <w:pStyle w:val="a3"/>
        <w:numPr>
          <w:ilvl w:val="0"/>
          <w:numId w:val="5"/>
        </w:numPr>
        <w:spacing w:line="288" w:lineRule="auto"/>
        <w:ind w:firstLineChars="0"/>
        <w:rPr>
          <w:rFonts w:hint="eastAsia"/>
          <w:u w:val="single"/>
        </w:rPr>
      </w:pPr>
      <w:proofErr w:type="gramStart"/>
      <w:r w:rsidRPr="00182671">
        <w:rPr>
          <w:rFonts w:hint="eastAsia"/>
          <w:u w:val="single"/>
        </w:rPr>
        <w:t>用自准法</w:t>
      </w:r>
      <w:proofErr w:type="gramEnd"/>
      <w:r w:rsidRPr="00182671">
        <w:rPr>
          <w:rFonts w:hint="eastAsia"/>
          <w:u w:val="single"/>
        </w:rPr>
        <w:t>测定三棱镜顶角。</w:t>
      </w:r>
      <w:r>
        <w:rPr>
          <w:rFonts w:hint="eastAsia"/>
        </w:rPr>
        <w:t>只要测出三棱镜两个光学面的法线之间的夹角</w:t>
      </w:r>
      <m:oMath>
        <m:r>
          <w:rPr>
            <w:rFonts w:ascii="Cambria Math" w:hAnsi="Cambria Math"/>
          </w:rPr>
          <m:t>ϕ</m:t>
        </m:r>
      </m:oMath>
      <w:r>
        <w:rPr>
          <w:rFonts w:hint="eastAsia"/>
        </w:rPr>
        <w:t>，即可求得顶角</w:t>
      </w:r>
      <m:oMath>
        <m:r>
          <w:rPr>
            <w:rFonts w:ascii="Cambria Math" w:hAnsi="Cambria Math"/>
          </w:rPr>
          <m:t>A=180°-ϕ</m:t>
        </m:r>
      </m:oMath>
      <w:r>
        <w:rPr>
          <w:rFonts w:hint="eastAsia"/>
        </w:rPr>
        <w:t>。</w:t>
      </w:r>
    </w:p>
    <w:p w:rsidR="00182671" w:rsidRPr="00272D1E" w:rsidRDefault="00182671" w:rsidP="00171825">
      <w:pPr>
        <w:pStyle w:val="a3"/>
        <w:numPr>
          <w:ilvl w:val="0"/>
          <w:numId w:val="5"/>
        </w:numPr>
        <w:spacing w:line="288" w:lineRule="auto"/>
        <w:ind w:firstLineChars="0"/>
        <w:rPr>
          <w:rFonts w:hint="eastAsia"/>
          <w:u w:val="single"/>
        </w:rPr>
      </w:pPr>
      <w:r>
        <w:rPr>
          <w:rFonts w:hint="eastAsia"/>
          <w:u w:val="single"/>
        </w:rPr>
        <w:t>用平行光法测定三棱镜顶角。</w:t>
      </w:r>
      <w:r>
        <w:rPr>
          <w:rFonts w:hint="eastAsia"/>
        </w:rPr>
        <w:t>一束平行光被三棱镜的两个光学面反射后，只要测出两束反射光之间的夹角</w:t>
      </w:r>
      <m:oMath>
        <m:r>
          <w:rPr>
            <w:rFonts w:ascii="Cambria Math" w:hAnsi="Cambria Math"/>
          </w:rPr>
          <m:t>ϕ</m:t>
        </m:r>
      </m:oMath>
      <w:r>
        <w:rPr>
          <w:rFonts w:hint="eastAsia"/>
        </w:rPr>
        <w:t>即可求得顶角</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ϕ</m:t>
        </m:r>
      </m:oMath>
      <w:r>
        <w:rPr>
          <w:rFonts w:hint="eastAsia"/>
        </w:rPr>
        <w:t>。放置三棱镜时，应使三棱镜顶点靠近</w:t>
      </w:r>
      <w:r w:rsidR="003948E7">
        <w:rPr>
          <w:rFonts w:hint="eastAsia"/>
        </w:rPr>
        <w:t>小平台中心。否则反射光将不能进入望远镜中</w:t>
      </w:r>
      <w:r>
        <w:rPr>
          <w:rFonts w:hint="eastAsia"/>
        </w:rPr>
        <w:t>。</w:t>
      </w:r>
    </w:p>
    <w:p w:rsidR="00272D1E" w:rsidRDefault="00272D1E" w:rsidP="00171825">
      <w:pPr>
        <w:pStyle w:val="a3"/>
        <w:numPr>
          <w:ilvl w:val="0"/>
          <w:numId w:val="1"/>
        </w:numPr>
        <w:spacing w:line="288" w:lineRule="auto"/>
        <w:ind w:firstLineChars="0"/>
        <w:rPr>
          <w:rFonts w:ascii="黑体" w:eastAsia="黑体" w:hint="eastAsia"/>
          <w:sz w:val="25"/>
        </w:rPr>
      </w:pPr>
      <w:r>
        <w:rPr>
          <w:rFonts w:ascii="黑体" w:eastAsia="黑体" w:hint="eastAsia"/>
          <w:sz w:val="25"/>
        </w:rPr>
        <w:t>实验仪器</w:t>
      </w:r>
    </w:p>
    <w:p w:rsidR="00272D1E" w:rsidRDefault="00272D1E" w:rsidP="00171825">
      <w:pPr>
        <w:spacing w:line="288" w:lineRule="auto"/>
        <w:ind w:firstLine="420"/>
        <w:rPr>
          <w:rFonts w:hint="eastAsia"/>
        </w:rPr>
      </w:pPr>
      <w:r>
        <w:rPr>
          <w:rFonts w:hint="eastAsia"/>
        </w:rPr>
        <w:t>实验仪器有分光计、平面反射镜、玻璃三棱镜、氦光谱管及其电源。</w:t>
      </w:r>
    </w:p>
    <w:p w:rsidR="00272D1E" w:rsidRDefault="00272D1E" w:rsidP="00171825">
      <w:pPr>
        <w:spacing w:line="288" w:lineRule="auto"/>
        <w:ind w:firstLine="420"/>
        <w:rPr>
          <w:rFonts w:hint="eastAsia"/>
        </w:rPr>
      </w:pPr>
      <w:r>
        <w:rPr>
          <w:rFonts w:hint="eastAsia"/>
        </w:rPr>
        <w:t>氦光谱管是将稀薄的氦气（</w:t>
      </w:r>
      <m:oMath>
        <m:r>
          <m:rPr>
            <m:sty m:val="p"/>
          </m:rPr>
          <w:rPr>
            <w:rFonts w:ascii="Cambria Math" w:hAnsi="Cambria Math"/>
          </w:rPr>
          <m:t>He</m:t>
        </m:r>
      </m:oMath>
      <w:r>
        <w:rPr>
          <w:rFonts w:hint="eastAsia"/>
        </w:rPr>
        <w:t>，气压为</w:t>
      </w:r>
      <m:oMath>
        <m:r>
          <m:rPr>
            <m:sty m:val="p"/>
          </m:rPr>
          <w:rPr>
            <w:rFonts w:ascii="Cambria Math" w:hAnsi="Cambria Math"/>
          </w:rPr>
          <m:t>600Pa~700P</m:t>
        </m:r>
      </m:oMath>
      <w:r>
        <w:rPr>
          <w:rFonts w:hint="eastAsia"/>
        </w:rPr>
        <w:t>）封闭在玻璃管内制成。管的两端各装一个电极，两电极间加高电压后产生放电并发光，通过三棱镜分光可得氦的线光谱。</w:t>
      </w:r>
    </w:p>
    <w:tbl>
      <w:tblPr>
        <w:tblStyle w:val="a6"/>
        <w:tblW w:w="0" w:type="auto"/>
        <w:tblLook w:val="04A0"/>
      </w:tblPr>
      <w:tblGrid>
        <w:gridCol w:w="1335"/>
        <w:gridCol w:w="1335"/>
        <w:gridCol w:w="1335"/>
        <w:gridCol w:w="1335"/>
        <w:gridCol w:w="1335"/>
        <w:gridCol w:w="1335"/>
        <w:gridCol w:w="1336"/>
        <w:gridCol w:w="1336"/>
      </w:tblGrid>
      <w:tr w:rsidR="00A21D43" w:rsidTr="001E340A">
        <w:tc>
          <w:tcPr>
            <w:tcW w:w="1335" w:type="dxa"/>
            <w:vAlign w:val="center"/>
          </w:tcPr>
          <w:p w:rsidR="00A21D43" w:rsidRDefault="00A21D43" w:rsidP="00171825">
            <w:pPr>
              <w:spacing w:line="288" w:lineRule="auto"/>
              <w:jc w:val="center"/>
            </w:pPr>
            <w:r>
              <w:rPr>
                <w:rFonts w:hint="eastAsia"/>
              </w:rPr>
              <w:t>波长</w:t>
            </w:r>
            <m:oMath>
              <m:r>
                <m:rPr>
                  <m:sty m:val="p"/>
                </m:rPr>
                <w:rPr>
                  <w:rFonts w:ascii="Cambria Math" w:hAnsi="Cambria Math" w:hint="eastAsia"/>
                </w:rPr>
                <m:t>/nm</m:t>
              </m:r>
            </m:oMath>
          </w:p>
        </w:tc>
        <w:tc>
          <w:tcPr>
            <w:tcW w:w="1335" w:type="dxa"/>
            <w:vAlign w:val="center"/>
          </w:tcPr>
          <w:p w:rsidR="00A21D43" w:rsidRDefault="00A21D43" w:rsidP="00171825">
            <w:pPr>
              <w:spacing w:line="288" w:lineRule="auto"/>
              <w:jc w:val="center"/>
            </w:pPr>
            <w:r>
              <w:rPr>
                <w:rFonts w:hint="eastAsia"/>
              </w:rPr>
              <w:t>447.1</w:t>
            </w:r>
          </w:p>
        </w:tc>
        <w:tc>
          <w:tcPr>
            <w:tcW w:w="1335" w:type="dxa"/>
            <w:vAlign w:val="center"/>
          </w:tcPr>
          <w:p w:rsidR="00A21D43" w:rsidRDefault="00A21D43" w:rsidP="00171825">
            <w:pPr>
              <w:spacing w:line="288" w:lineRule="auto"/>
              <w:jc w:val="center"/>
            </w:pPr>
            <w:r>
              <w:rPr>
                <w:rFonts w:hint="eastAsia"/>
              </w:rPr>
              <w:t>471.3</w:t>
            </w:r>
          </w:p>
        </w:tc>
        <w:tc>
          <w:tcPr>
            <w:tcW w:w="1335" w:type="dxa"/>
            <w:vAlign w:val="center"/>
          </w:tcPr>
          <w:p w:rsidR="00A21D43" w:rsidRDefault="00A21D43" w:rsidP="00171825">
            <w:pPr>
              <w:spacing w:line="288" w:lineRule="auto"/>
              <w:jc w:val="center"/>
            </w:pPr>
            <w:r>
              <w:rPr>
                <w:rFonts w:hint="eastAsia"/>
              </w:rPr>
              <w:t>492.2</w:t>
            </w:r>
          </w:p>
        </w:tc>
        <w:tc>
          <w:tcPr>
            <w:tcW w:w="1335" w:type="dxa"/>
            <w:vAlign w:val="center"/>
          </w:tcPr>
          <w:p w:rsidR="00A21D43" w:rsidRDefault="00A21D43" w:rsidP="00171825">
            <w:pPr>
              <w:spacing w:line="288" w:lineRule="auto"/>
              <w:jc w:val="center"/>
            </w:pPr>
            <w:r>
              <w:rPr>
                <w:rFonts w:hint="eastAsia"/>
              </w:rPr>
              <w:t>501.6</w:t>
            </w:r>
          </w:p>
        </w:tc>
        <w:tc>
          <w:tcPr>
            <w:tcW w:w="1335" w:type="dxa"/>
            <w:vAlign w:val="center"/>
          </w:tcPr>
          <w:p w:rsidR="00A21D43" w:rsidRDefault="00A21D43" w:rsidP="00171825">
            <w:pPr>
              <w:spacing w:line="288" w:lineRule="auto"/>
              <w:jc w:val="center"/>
            </w:pPr>
            <w:r>
              <w:rPr>
                <w:rFonts w:hint="eastAsia"/>
              </w:rPr>
              <w:t>587.6</w:t>
            </w:r>
          </w:p>
        </w:tc>
        <w:tc>
          <w:tcPr>
            <w:tcW w:w="1336" w:type="dxa"/>
            <w:vAlign w:val="center"/>
          </w:tcPr>
          <w:p w:rsidR="00A21D43" w:rsidRDefault="00A21D43" w:rsidP="00171825">
            <w:pPr>
              <w:spacing w:line="288" w:lineRule="auto"/>
              <w:jc w:val="center"/>
            </w:pPr>
            <w:r>
              <w:rPr>
                <w:rFonts w:hint="eastAsia"/>
              </w:rPr>
              <w:t>667.8</w:t>
            </w:r>
          </w:p>
        </w:tc>
        <w:tc>
          <w:tcPr>
            <w:tcW w:w="1336" w:type="dxa"/>
            <w:vAlign w:val="center"/>
          </w:tcPr>
          <w:p w:rsidR="00A21D43" w:rsidRDefault="00A21D43" w:rsidP="00171825">
            <w:pPr>
              <w:spacing w:line="288" w:lineRule="auto"/>
              <w:jc w:val="center"/>
            </w:pPr>
            <w:r>
              <w:rPr>
                <w:rFonts w:hint="eastAsia"/>
              </w:rPr>
              <w:t>706.6</w:t>
            </w:r>
          </w:p>
        </w:tc>
      </w:tr>
      <w:tr w:rsidR="00A21D43" w:rsidTr="001E340A">
        <w:tc>
          <w:tcPr>
            <w:tcW w:w="1335" w:type="dxa"/>
            <w:vAlign w:val="center"/>
          </w:tcPr>
          <w:p w:rsidR="00A21D43" w:rsidRDefault="00A21D43" w:rsidP="00171825">
            <w:pPr>
              <w:spacing w:line="288" w:lineRule="auto"/>
              <w:jc w:val="center"/>
            </w:pPr>
            <w:r>
              <w:rPr>
                <w:rFonts w:hint="eastAsia"/>
              </w:rPr>
              <w:t>颜色</w:t>
            </w:r>
          </w:p>
        </w:tc>
        <w:tc>
          <w:tcPr>
            <w:tcW w:w="1335" w:type="dxa"/>
            <w:vAlign w:val="center"/>
          </w:tcPr>
          <w:p w:rsidR="00A21D43" w:rsidRDefault="00A21D43" w:rsidP="00171825">
            <w:pPr>
              <w:spacing w:line="288" w:lineRule="auto"/>
              <w:jc w:val="center"/>
            </w:pPr>
            <w:r>
              <w:rPr>
                <w:rFonts w:hint="eastAsia"/>
              </w:rPr>
              <w:t>蓝紫</w:t>
            </w:r>
          </w:p>
        </w:tc>
        <w:tc>
          <w:tcPr>
            <w:tcW w:w="1335" w:type="dxa"/>
            <w:vAlign w:val="center"/>
          </w:tcPr>
          <w:p w:rsidR="00A21D43" w:rsidRDefault="00A21D43" w:rsidP="00171825">
            <w:pPr>
              <w:spacing w:line="288" w:lineRule="auto"/>
              <w:jc w:val="center"/>
            </w:pPr>
            <w:r>
              <w:rPr>
                <w:rFonts w:hint="eastAsia"/>
              </w:rPr>
              <w:t>蓝</w:t>
            </w:r>
          </w:p>
        </w:tc>
        <w:tc>
          <w:tcPr>
            <w:tcW w:w="1335" w:type="dxa"/>
            <w:vAlign w:val="center"/>
          </w:tcPr>
          <w:p w:rsidR="00A21D43" w:rsidRDefault="00A21D43" w:rsidP="00171825">
            <w:pPr>
              <w:spacing w:line="288" w:lineRule="auto"/>
              <w:jc w:val="center"/>
            </w:pPr>
            <w:r>
              <w:rPr>
                <w:rFonts w:hint="eastAsia"/>
              </w:rPr>
              <w:t>蓝绿</w:t>
            </w:r>
          </w:p>
        </w:tc>
        <w:tc>
          <w:tcPr>
            <w:tcW w:w="1335" w:type="dxa"/>
            <w:vAlign w:val="center"/>
          </w:tcPr>
          <w:p w:rsidR="00A21D43" w:rsidRDefault="00A21D43" w:rsidP="00171825">
            <w:pPr>
              <w:spacing w:line="288" w:lineRule="auto"/>
              <w:jc w:val="center"/>
            </w:pPr>
            <w:r>
              <w:rPr>
                <w:rFonts w:hint="eastAsia"/>
              </w:rPr>
              <w:t>浅绿</w:t>
            </w:r>
          </w:p>
        </w:tc>
        <w:tc>
          <w:tcPr>
            <w:tcW w:w="1335" w:type="dxa"/>
            <w:vAlign w:val="center"/>
          </w:tcPr>
          <w:p w:rsidR="00A21D43" w:rsidRDefault="00A21D43" w:rsidP="00171825">
            <w:pPr>
              <w:spacing w:line="288" w:lineRule="auto"/>
              <w:jc w:val="center"/>
            </w:pPr>
            <w:r>
              <w:rPr>
                <w:rFonts w:hint="eastAsia"/>
              </w:rPr>
              <w:t>黄</w:t>
            </w:r>
          </w:p>
        </w:tc>
        <w:tc>
          <w:tcPr>
            <w:tcW w:w="1336" w:type="dxa"/>
            <w:vAlign w:val="center"/>
          </w:tcPr>
          <w:p w:rsidR="00A21D43" w:rsidRDefault="00A21D43" w:rsidP="00171825">
            <w:pPr>
              <w:spacing w:line="288" w:lineRule="auto"/>
              <w:jc w:val="center"/>
            </w:pPr>
            <w:r>
              <w:rPr>
                <w:rFonts w:hint="eastAsia"/>
              </w:rPr>
              <w:t>大红</w:t>
            </w:r>
          </w:p>
        </w:tc>
        <w:tc>
          <w:tcPr>
            <w:tcW w:w="1336" w:type="dxa"/>
            <w:vAlign w:val="center"/>
          </w:tcPr>
          <w:p w:rsidR="00A21D43" w:rsidRDefault="00A21D43" w:rsidP="00171825">
            <w:pPr>
              <w:spacing w:line="288" w:lineRule="auto"/>
              <w:jc w:val="center"/>
            </w:pPr>
            <w:r>
              <w:rPr>
                <w:rFonts w:hint="eastAsia"/>
              </w:rPr>
              <w:t>暗红</w:t>
            </w:r>
          </w:p>
        </w:tc>
      </w:tr>
    </w:tbl>
    <w:p w:rsidR="00A21D43" w:rsidRPr="00272D1E" w:rsidRDefault="00A21D43" w:rsidP="00171825">
      <w:pPr>
        <w:spacing w:line="288" w:lineRule="auto"/>
        <w:ind w:firstLine="420"/>
      </w:pPr>
    </w:p>
    <w:sectPr w:rsidR="00A21D43" w:rsidRPr="00272D1E" w:rsidSect="00BB067C">
      <w:pgSz w:w="11906" w:h="16838"/>
      <w:pgMar w:top="1247" w:right="720" w:bottom="720" w:left="72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Technic">
    <w:panose1 w:val="000004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862447"/>
    <w:multiLevelType w:val="hybridMultilevel"/>
    <w:tmpl w:val="FCF6FE1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58992ADB"/>
    <w:multiLevelType w:val="hybridMultilevel"/>
    <w:tmpl w:val="DEC47E82"/>
    <w:lvl w:ilvl="0" w:tplc="0409000F">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5D596E38"/>
    <w:multiLevelType w:val="hybridMultilevel"/>
    <w:tmpl w:val="B05C5CF4"/>
    <w:lvl w:ilvl="0" w:tplc="01FEE00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F341433"/>
    <w:multiLevelType w:val="hybridMultilevel"/>
    <w:tmpl w:val="3236A58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72696F0D"/>
    <w:multiLevelType w:val="hybridMultilevel"/>
    <w:tmpl w:val="28D49C7C"/>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B067C"/>
    <w:rsid w:val="00171825"/>
    <w:rsid w:val="00182671"/>
    <w:rsid w:val="001E340A"/>
    <w:rsid w:val="00272D1E"/>
    <w:rsid w:val="003948E7"/>
    <w:rsid w:val="004018FE"/>
    <w:rsid w:val="00405A5F"/>
    <w:rsid w:val="00447646"/>
    <w:rsid w:val="004E09E1"/>
    <w:rsid w:val="00715B5F"/>
    <w:rsid w:val="009C0596"/>
    <w:rsid w:val="00A21D43"/>
    <w:rsid w:val="00BB067C"/>
    <w:rsid w:val="00E413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3F7"/>
    <w:pPr>
      <w:widowControl w:val="0"/>
      <w:jc w:val="both"/>
    </w:pPr>
  </w:style>
  <w:style w:type="paragraph" w:styleId="1">
    <w:name w:val="heading 1"/>
    <w:basedOn w:val="a"/>
    <w:next w:val="a"/>
    <w:link w:val="1Char"/>
    <w:uiPriority w:val="9"/>
    <w:qFormat/>
    <w:rsid w:val="00BB067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B067C"/>
    <w:rPr>
      <w:b/>
      <w:bCs/>
      <w:kern w:val="44"/>
      <w:sz w:val="44"/>
      <w:szCs w:val="44"/>
    </w:rPr>
  </w:style>
  <w:style w:type="paragraph" w:styleId="a3">
    <w:name w:val="List Paragraph"/>
    <w:basedOn w:val="a"/>
    <w:uiPriority w:val="34"/>
    <w:qFormat/>
    <w:rsid w:val="00BB067C"/>
    <w:pPr>
      <w:ind w:firstLineChars="200" w:firstLine="420"/>
    </w:pPr>
  </w:style>
  <w:style w:type="character" w:styleId="a4">
    <w:name w:val="Placeholder Text"/>
    <w:basedOn w:val="a0"/>
    <w:uiPriority w:val="99"/>
    <w:semiHidden/>
    <w:rsid w:val="00715B5F"/>
    <w:rPr>
      <w:color w:val="808080"/>
    </w:rPr>
  </w:style>
  <w:style w:type="paragraph" w:styleId="a5">
    <w:name w:val="Balloon Text"/>
    <w:basedOn w:val="a"/>
    <w:link w:val="Char"/>
    <w:uiPriority w:val="99"/>
    <w:semiHidden/>
    <w:unhideWhenUsed/>
    <w:rsid w:val="00715B5F"/>
    <w:rPr>
      <w:sz w:val="18"/>
      <w:szCs w:val="18"/>
    </w:rPr>
  </w:style>
  <w:style w:type="character" w:customStyle="1" w:styleId="Char">
    <w:name w:val="批注框文本 Char"/>
    <w:basedOn w:val="a0"/>
    <w:link w:val="a5"/>
    <w:uiPriority w:val="99"/>
    <w:semiHidden/>
    <w:rsid w:val="00715B5F"/>
    <w:rPr>
      <w:sz w:val="18"/>
      <w:szCs w:val="18"/>
    </w:rPr>
  </w:style>
  <w:style w:type="table" w:styleId="a6">
    <w:name w:val="Table Grid"/>
    <w:basedOn w:val="a1"/>
    <w:uiPriority w:val="59"/>
    <w:rsid w:val="00A21D4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F73A3-7A83-4BAC-8002-637097CC2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245</Words>
  <Characters>1403</Characters>
  <Application>Microsoft Office Word</Application>
  <DocSecurity>0</DocSecurity>
  <Lines>11</Lines>
  <Paragraphs>3</Paragraphs>
  <ScaleCrop>false</ScaleCrop>
  <Company>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Shi</dc:creator>
  <cp:keywords/>
  <dc:description/>
  <cp:lastModifiedBy>Julius Shi</cp:lastModifiedBy>
  <cp:revision>12</cp:revision>
  <dcterms:created xsi:type="dcterms:W3CDTF">2008-12-02T08:45:00Z</dcterms:created>
  <dcterms:modified xsi:type="dcterms:W3CDTF">2008-12-02T09:34:00Z</dcterms:modified>
</cp:coreProperties>
</file>